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 1 к  приказу</w:t>
      </w:r>
    </w:p>
    <w:p>
      <w:pPr>
        <w:spacing w:after="2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г. №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100-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>
      <w:pPr>
        <w:spacing w:after="2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КОНКУРСНАЯ ДОКУМЕНТАЦИЯ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закупкам </w:t>
      </w:r>
      <w:r>
        <w:rPr>
          <w:b/>
          <w:bCs/>
          <w:sz w:val="28"/>
          <w:szCs w:val="28"/>
        </w:rPr>
        <w:t xml:space="preserve">услуг </w:t>
      </w:r>
      <w:r>
        <w:rPr>
          <w:b/>
          <w:sz w:val="28"/>
          <w:szCs w:val="28"/>
        </w:rPr>
        <w:t>неправительственной организации</w:t>
      </w:r>
    </w:p>
    <w:p>
      <w:pPr>
        <w:pStyle w:val="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проведения мероприятий, направленных на профилактику </w:t>
      </w:r>
    </w:p>
    <w:p>
      <w:pPr>
        <w:pStyle w:val="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ВИЧ-инфекции среди мужчин, имеющих секс с мужчинами и трансгендерных людей в 2024 году в Жамбылской области </w:t>
      </w:r>
    </w:p>
    <w:p>
      <w:pPr>
        <w:pStyle w:val="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9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реализации </w:t>
      </w:r>
      <w:r>
        <w:rPr>
          <w:rFonts w:eastAsia="Calibri"/>
          <w:bCs/>
          <w:sz w:val="28"/>
          <w:szCs w:val="28"/>
        </w:rPr>
        <w:t xml:space="preserve">гранта Глобального фонда для борьбы со СПИДом, туберкулезом и малярией (далее – ГФСТМ) по компоненту «ВИЧ»       </w:t>
      </w:r>
      <w:r>
        <w:rPr>
          <w:bCs/>
          <w:sz w:val="28"/>
          <w:szCs w:val="28"/>
        </w:rPr>
        <w:t xml:space="preserve">№KAZ-H-RAC/3508 «Реализация устойчивых стратегических мер по сдерживанию эпидемии ВИЧ среди ключевых групп населения в Республике Казахстан» </w:t>
      </w:r>
      <w:r>
        <w:rPr>
          <w:rFonts w:eastAsia="Calibri"/>
          <w:bCs/>
          <w:sz w:val="28"/>
          <w:szCs w:val="28"/>
        </w:rPr>
        <w:t xml:space="preserve">на 2024-2026 годы </w:t>
      </w:r>
    </w:p>
    <w:p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Заказчик: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Коммунальное государственное казенное предприятие "Жамбылский областной центр по профилактике и борьбе с синдромом приобретенного иммунодефицита управления здравоохранения акимата Жамбылской области"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Республика Казахстан, Жамбылская область, г.Тараз, </w:t>
      </w:r>
      <w:r>
        <w:rPr>
          <w:rFonts w:hint="default" w:ascii="Times New Roman" w:hAnsi="Times New Roman" w:cs="Times New Roman"/>
          <w:sz w:val="28"/>
          <w:szCs w:val="28"/>
        </w:rPr>
        <w:t>проспект Толе би, 64 «Г»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БИН: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990240002730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Банковские реквизиты: 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АО "ForteBank"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ИИК KZ0696519F0007435297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БИК IRTYKZKA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КБе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Представитель заказчика: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Исаев Айбек Акылбекович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ИИН: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610106301190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Должность: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Главный врач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8(7262) 45-65-32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instrText xml:space="preserve"> HYPERLINK "mailto:aidstaraz@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instrText xml:space="preserve">med.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instrText xml:space="preserve">mail." 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t>aidstaraz@</w:t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med.</w:t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t>mail.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kz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Секретарь конкурсной комиссии: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қақ Мейіржан Маратович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ИИН: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950313301522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Должность: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аведующий отделом профилактики и связей с общественностью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8(7262) 45-65-32</w:t>
      </w:r>
    </w:p>
    <w:p>
      <w:pPr>
        <w:spacing w:after="240" w:line="24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instrText xml:space="preserve"> HYPERLINK "mailto:aidstaraz@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instrText xml:space="preserve">med.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instrText xml:space="preserve">mail." 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t>aidstaraz@</w:t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med.</w:t>
      </w:r>
      <w:r>
        <w:rPr>
          <w:rStyle w:val="5"/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t>mail.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kz</w:t>
      </w:r>
    </w:p>
    <w:p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>
      <w:pPr>
        <w:pStyle w:val="9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Конкурс проводится с целью выбора поставщика услуг -  неправительственн</w:t>
      </w:r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(НПО)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мероприятий, направленных на непрерывность получения услуг по профилактике ВИЧ-инфекции среди мужчин, имеющих секс с мужчинами (далее – МСМ) и трансгендерных людей (далее – ТГЛ) в 2024 году (далее – Услуги).</w:t>
      </w:r>
    </w:p>
    <w:p>
      <w:pPr>
        <w:pStyle w:val="9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Потенциальный поставщик услуг должен соответствовать следующим требованиям:</w:t>
      </w:r>
    </w:p>
    <w:p>
      <w:pPr>
        <w:pStyle w:val="9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Являться неправительственной (некоммерческой) организацией;</w:t>
      </w:r>
    </w:p>
    <w:p>
      <w:pPr>
        <w:pStyle w:val="9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Быть зарегистрированным в органах юстиции;</w:t>
      </w:r>
    </w:p>
    <w:p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иметь задолженностей перед госбюджетом по налогам и прочим обязательным платежам в бюджет; </w:t>
      </w:r>
    </w:p>
    <w:p>
      <w:pPr>
        <w:pStyle w:val="12"/>
        <w:tabs>
          <w:tab w:val="left" w:pos="284"/>
          <w:tab w:val="left" w:pos="426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находиться в процессе реорганизации, ликвидации или приостановки деятельности;</w:t>
      </w:r>
    </w:p>
    <w:p>
      <w:pPr>
        <w:pStyle w:val="16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зарегистрированным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«Базе данных неправительственных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9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опыт реализации мероприятий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профилактике ВИЧ-инфекции и/или представлять сообщество (МСМ, ТГЛ) (предпочтительно);</w:t>
      </w:r>
    </w:p>
    <w:p>
      <w:pPr>
        <w:pStyle w:val="9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деятельности и цели деятельности организации в соответствии с Уставом вопросы профилактики ВИЧ-инфекции; </w:t>
      </w:r>
    </w:p>
    <w:p>
      <w:pPr>
        <w:pStyle w:val="9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bookmarkStart w:id="0" w:name="_Hlk506125521"/>
      <w:r>
        <w:rPr>
          <w:sz w:val="28"/>
          <w:szCs w:val="28"/>
        </w:rPr>
        <w:t>К конкурсу допускается потенциальные поставщики, имеющие юридический адрес по месту требуемой деятельности.</w:t>
      </w:r>
    </w:p>
    <w:bookmarkEnd w:id="0"/>
    <w:p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Настоящая конкурсная документация по закупкам услуг (далее – КД) включает в себя: </w:t>
      </w:r>
    </w:p>
    <w:p>
      <w:pPr>
        <w:pStyle w:val="12"/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 на участие в конкурсе согласно приложению 1 к настоящей КД;</w:t>
      </w:r>
    </w:p>
    <w:p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Техническая спецификация с описанием и требуемыми техническими, качественными характеристиками закупаемых услуг согласно и сведения о квалификации потенциального поставщика для оказания услуг согласно приложению 2 к настоящей КД; </w:t>
      </w:r>
    </w:p>
    <w:p>
      <w:pPr>
        <w:pStyle w:val="12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оценки представленных потенциальными поставщиками 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технических спецификаций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3 к настоящей КД.</w:t>
      </w:r>
    </w:p>
    <w:p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>
      <w:pPr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Установленный Основным получателем (КНЦДИЗ</w:t>
      </w:r>
      <w:r>
        <w:rPr>
          <w:rFonts w:ascii="Times New Roman" w:hAnsi="Times New Roman"/>
          <w:color w:val="000000"/>
          <w:sz w:val="28"/>
          <w:szCs w:val="28"/>
        </w:rPr>
        <w:t xml:space="preserve">) бюджет проекта прилагается. Сумма, </w:t>
      </w:r>
      <w:r>
        <w:rPr>
          <w:rFonts w:ascii="Times New Roman" w:hAnsi="Times New Roman"/>
          <w:sz w:val="28"/>
          <w:szCs w:val="28"/>
        </w:rPr>
        <w:t xml:space="preserve">выделенная для данного конкурса по закупкам, составляет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25 855 956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двадцать пять миллионов восемьсот пятьдесят пять тысяч девятьсот пятьдесят шесть) тенге</w:t>
      </w:r>
      <w:r>
        <w:rPr>
          <w:rFonts w:hint="default"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>
      <w:pPr>
        <w:pStyle w:val="1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0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559"/>
        <w:gridCol w:w="1418"/>
        <w:gridCol w:w="1147"/>
        <w:gridCol w:w="2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464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Кадровые ресурсы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Общая сумма за месяц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Заня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тость</w:t>
            </w:r>
          </w:p>
        </w:tc>
        <w:tc>
          <w:tcPr>
            <w:tcW w:w="22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Сумма, тенге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Координатор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173 575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2 082 898,32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262 235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1 573 412,40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Специалист по базе данных/ТМЦ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187 311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1 798 185,60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SMM специалист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129 180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1 550 160,00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Веб-аутрич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91 503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1 098 030,00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Аутрич-работники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91 503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8 784 240,00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Аутрич-работники ТГ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91 503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1 098 030,00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17 984 956,3</w:t>
            </w:r>
          </w:p>
        </w:tc>
      </w:tr>
    </w:tbl>
    <w:tbl>
      <w:tblPr>
        <w:tblStyle w:val="4"/>
        <w:tblW w:w="9474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559"/>
        <w:gridCol w:w="2552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Общая 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Закупка компьютера, компьютерного оборудования, программного обеспечения и приложений для новых НПО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500000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500 000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 xml:space="preserve">Сумма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500 000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4"/>
        <w:tblW w:w="9474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711"/>
        <w:gridCol w:w="1671"/>
        <w:gridCol w:w="2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Доплаты за выявленные случаи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Доплаты </w:t>
            </w:r>
          </w:p>
        </w:tc>
        <w:tc>
          <w:tcPr>
            <w:tcW w:w="167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Общая 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по результатам работы на уровне сообщества (НПО по работе с КГН) за тестирование на ВИЧ, выявление ВИЧ, содействие в постановке на Д-учет в Центре СПИД</w:t>
            </w: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  <w:t>)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20 000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380 000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380 000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Доплаты за привлечение на ДКП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Доплаты 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Общая 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Выплаты по результатам работы на уровне сообщества за одного нового клиента, получившего ДКП впервые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435 000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435 000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 xml:space="preserve">Публичные мероприятия по снижению стигмы 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>поддержке достижений программ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>Описание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1 раз в полугодие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Общая 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Мероприятия, направленные  на снижение стигмы и дискриминации и поддержке программ по ВИЧ в регионе </w:t>
            </w:r>
            <w:r>
              <w:rPr>
                <w:rFonts w:ascii="Times New Roman" w:hAnsi="Times New Roman" w:cs="Times New Roman"/>
                <w:i/>
                <w:color w:val="202124"/>
                <w:sz w:val="28"/>
                <w:szCs w:val="28"/>
              </w:rPr>
              <w:t>(Мероприятие к Дню памяти умерших от СПИД и мероприятие к Всемирному Дню борьбы со СПИД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)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250 000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 xml:space="preserve">Сумма 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500 000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Услуги консультанта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Общая 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по мужскому здоровью (консультации проктолога)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200 000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 xml:space="preserve">Сумма 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200 000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Прочие расходы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Стоимость за месяц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Общая 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Аренда офиса, включая коммунальные услуги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180 000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2 160 000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Офисные расходы, расходные материалы (телефон, интернет, канцтовары, заправка картриджей и т.д.)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38 000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456 000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  <w:t>Телефонная связь аутрич-работников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648 000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144 000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Кофе-брейки 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240 000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Обновление ПО (Антивирус, поддержка 1С), обслуживание ПК техники.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120 000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Водитель и транспорт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84 000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1 008 000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Проездные (транспортные) для аутрич-работников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1 080 000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 xml:space="preserve">Сумма 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5 856 000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sz w:val="28"/>
                <w:szCs w:val="28"/>
              </w:rPr>
              <w:t>ВСЕГО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25 855 956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Требования к оформлению и представлению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потенциальными поставщиками заявки на участие в конкурсе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 Заявка на участие в конкурсе является формой выражения согласия потенциального поставщика, претендующего на участие в конкурсе, оказать услугу в соответствии с требованиями и условиями, предусмотренными настоящей КД, а также согласие потенциального поставщика на получение сведений о нем, подтверждающих соответствие квалификационным требованиям.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конкурсе должна содержать: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заявку на участие в конкурсе согласно приложению 1 к настоящей КД (в произвольной форме за подписью руководителя, подпись, печать);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техническую спецификацию и сведения о квалификации согласно приложению 2 к настоящей КД;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документы, представляемые потенциальным поставщиком в подтверждение его соответствия квалификационным требованиям: </w:t>
      </w:r>
    </w:p>
    <w:p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документы, заверенные подписью;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разрешения (уведомления) и (или) патенты, свидетельства, сертификаты, другие документы, подтверждающие право потенциального поставщика на оказание услуг;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Заявка на участие в конкурсе должна быть подана потенциальным поставщиком не позднее срока, указанного в объявлении о конкурсе и в пункте 11  статьи 3 настоящей КД.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Срок действия конкурсной заявки должен составлять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30 календарных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даты вскрытия конкурсных заявок.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Копии документов, содержащиеся в заявке на участие в конкурсе, должны быть четкими и разборчивыми.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Заявка на участие в конкурсе, подготовленная потенциальным поставщиком, а также вся корреспонденция и документы, касательно заявки на участие в конкурсе составляются и представляются на государственном языке или на русском языке. В дополнение к оригиналу заявки представляется копия на электронном носителе (включая электронную копию каждого документа, представленного с заявкой).</w:t>
      </w:r>
    </w:p>
    <w:p>
      <w:pPr>
        <w:pStyle w:val="9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Заявка на участие в конкурсе представляется потенциальным поставщиком заказчику в прошитом виде, с пронумерованными страницами и последняя страница заверяется его подписью и печатью. </w:t>
      </w:r>
    </w:p>
    <w:p>
      <w:pPr>
        <w:pStyle w:val="9"/>
        <w:spacing w:before="0" w:beforeAutospacing="0" w:after="240" w:afterAutospacing="0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</w:rPr>
        <w:t xml:space="preserve">10. Потенциальный поставщик запечатывает заявку на участие в конкурсе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конкурсе невскрытой, если она будет объявлена «опоздавшей»), полное наименование и почтовый адрес заказчика, а также текст следующего содержания: </w:t>
      </w:r>
      <w:r>
        <w:rPr>
          <w:b/>
          <w:sz w:val="28"/>
          <w:szCs w:val="28"/>
        </w:rPr>
        <w:t>«Конкурс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закупкам </w:t>
      </w:r>
      <w:r>
        <w:rPr>
          <w:b/>
          <w:bCs/>
          <w:sz w:val="28"/>
          <w:szCs w:val="28"/>
        </w:rPr>
        <w:t xml:space="preserve">услуг </w:t>
      </w:r>
      <w:r>
        <w:rPr>
          <w:b/>
          <w:sz w:val="28"/>
          <w:szCs w:val="28"/>
        </w:rPr>
        <w:t xml:space="preserve">неправительственных организаций </w:t>
      </w:r>
      <w:r>
        <w:rPr>
          <w:b/>
          <w:bCs/>
          <w:sz w:val="28"/>
          <w:szCs w:val="28"/>
        </w:rPr>
        <w:t xml:space="preserve">для </w:t>
      </w:r>
      <w:r>
        <w:rPr>
          <w:b/>
          <w:sz w:val="28"/>
          <w:szCs w:val="28"/>
        </w:rPr>
        <w:t>проведения мероприятий, направленных на непрерывность получения услуг по профилактике ВИЧ-инфекции среди   мужчин, имеющих секс с мужчинами и трансгендерных людей в 2024 году»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«НЕ ВСКРЫВАТЬ </w:t>
      </w:r>
      <w:r>
        <w:rPr>
          <w:b/>
          <w:sz w:val="28"/>
          <w:szCs w:val="28"/>
          <w:highlight w:val="none"/>
        </w:rPr>
        <w:t xml:space="preserve">ДО: </w:t>
      </w:r>
      <w:r>
        <w:rPr>
          <w:rFonts w:hint="default"/>
          <w:b/>
          <w:sz w:val="28"/>
          <w:szCs w:val="28"/>
          <w:highlight w:val="none"/>
          <w:lang w:val="en-US"/>
        </w:rPr>
        <w:t>15</w:t>
      </w:r>
      <w:r>
        <w:rPr>
          <w:b/>
          <w:sz w:val="28"/>
          <w:szCs w:val="28"/>
          <w:highlight w:val="none"/>
        </w:rPr>
        <w:t xml:space="preserve"> часов 00 минут </w:t>
      </w:r>
      <w:r>
        <w:rPr>
          <w:rFonts w:hint="default"/>
          <w:b/>
          <w:sz w:val="28"/>
          <w:szCs w:val="28"/>
          <w:highlight w:val="none"/>
          <w:lang w:val="en-US"/>
        </w:rPr>
        <w:t>26</w:t>
      </w:r>
      <w:r>
        <w:rPr>
          <w:b/>
          <w:sz w:val="28"/>
          <w:szCs w:val="28"/>
          <w:highlight w:val="none"/>
        </w:rPr>
        <w:t xml:space="preserve"> декабря 2023 года».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представления заявки на участие в конкурсе</w:t>
      </w:r>
    </w:p>
    <w:p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Заявки на участие в конкурсе представляются потенциальными поставщиками заказчику нарочно или с использованием заказной почтовой связи по адресу: </w:t>
      </w:r>
      <w:r>
        <w:rPr>
          <w:rFonts w:ascii="Times New Roman" w:hAnsi="Times New Roman" w:cs="Times New Roman"/>
          <w:sz w:val="28"/>
          <w:szCs w:val="28"/>
          <w:lang w:val="ru-RU"/>
        </w:rPr>
        <w:t>Жамбылская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область, г.Тараз, проспект Толе би 64 «Г»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до 1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Все конкурсные заявки, полученные заказчиком после истечения окончательного срока представления конкурсных заявок, не вскрываются и возвращаются представившим их потенциальным поставщикам по реквизитам, указанным на конвертах с заявками на участие в конкурсе либо лично представителям потенциальных поставщиков под расписку о получении.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Представленные потенциальными поставщиками заявки на участие в конкурсе регистрируются секретарем конкурсной комиссии в соответствующем журнале с указанием даты и времени приема заявок на участие в конкурсе.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конкурсе, предусмотренными настоящей КД. </w:t>
      </w:r>
    </w:p>
    <w:p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Изменение заявок на участие в конкурсе и их отзыв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Потенциальный поставщик не позднее окончания срока представления заявок на участие в конкурсе вправе: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изменить и (или) дополнить внесенную заявку на участие в конкурсе;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отозвать свою заявку на участие в конкурсе.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Потенциальный поставщик несет все расходы, связанные с его участием в конкурсе. Заказчик, конкурсная комиссия не несут обязательства по возмещению этих расходов независимо от итогов конкурса.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Вскрытие и рассмотрение заявок на участие в конкурсе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Вскрытие конвертов с заявками на участие в конкурсе производится конкурсной комиссией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в 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en-US"/>
        </w:rPr>
        <w:t>15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декабря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Жамбылская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область, г.Тараз, проспект Толе би 64 «Г»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Вскрытию подлежат конверты с заявками потенциальных поставщиков, представленные в сроки и в порядке, установленные в объявлении заказчика и настоящей КД.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19. Конкурс проводится в смешанном формате, участники организатора принимают участие офлайн, секретарь конкурсной комиссии участникам принимающим участие он-лайн направляет ссылку для участия за 3 дня до проведения конкурса.</w:t>
      </w: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9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В случае, если на конкурс представлена только одна заявка на участие в конкурсе, то такая заявка также вскрывается и рассматривается.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Рассмотрение заявок на участие в конкурсе осуществляется конкурсной комиссией с целью определения потенциальных поставщиков, соответствующих требованиям КД в смешанном формате,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секретарь конкурсной комиссии остальным участникам, принимающим участие он-лайн направляет электронные варианты заявок.</w:t>
      </w:r>
    </w:p>
    <w:p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изучает заявки на предмет их полноты, необходимых гарантий, всех подписей на документах, а также проверяет правильность оформления заявок в целом. Рассмотрение заявок осуществляется в соответствии с Руководством по закупкам в рамках реализации гранта Глобального фонда для борьбы со СПИДом, туберкулезом и малярией в Республике Казахстан. Если заявка отклоняется комиссией как не отвечающая всем требованиям Руководства и конкурсной документации, то она не может быть впоследствии признана отвечающей требованиям. Соответствие потенциальных поставщиков предъявляемым квалификационным требованиям, а также полнота и достоверность представляемой ими информации устанавливаются в момент рассмотрения комиссией документов, представленных потенциальными поставщиками в соответствии с настоящей Конкурсной документации.</w:t>
      </w:r>
    </w:p>
    <w:p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осуществляет оценку и сопоставление заявок согласно с Руководством по Закупкам и требованиям настоящей документации.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интернет-ресурсе уполномоченного органа.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По результатам рассмотрения заявок на участие в конкурсе конкурсная комиссия: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определяет потенциальных поставщиков, которые соответствуют требованиям КД, и признает их участниками конкурса;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рассчитывает баллы для оценки представленных потенциальными поставщиками технических спецификаций на основе следующих критериев: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предлагаемого потенциальным поставщиком проекта требованиям технической спецификации заказчика; </w:t>
      </w:r>
      <w:r>
        <w:rPr>
          <w:rFonts w:ascii="Times New Roman"/>
          <w:color w:val="000000"/>
          <w:sz w:val="28"/>
        </w:rPr>
        <w:t xml:space="preserve">      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цели деятельности потенциального поставщика (в соответствии с учредительными документами) закупаемым услугам заказчика; 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jc w:val="both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детального плана мероприятий достижению целей, поставленных заказчиком (наименование и форма мероприятий, место и сроки проведения);</w:t>
      </w:r>
      <w:r>
        <w:rPr>
          <w:rFonts w:ascii="Times New Roman"/>
          <w:color w:val="000000"/>
          <w:sz w:val="28"/>
        </w:rPr>
        <w:t xml:space="preserve">       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нахождении потенциального поставщика в «Базе данных неправительственных организаций»;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опыта работы потенциального поставщика;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соответствие персонала проекта потенциального поставщика квалификационным требованиям;</w:t>
      </w:r>
      <w:r>
        <w:rPr>
          <w:rFonts w:ascii="Times New Roman"/>
          <w:color w:val="000000"/>
          <w:sz w:val="28"/>
        </w:rPr>
        <w:t xml:space="preserve"> </w:t>
      </w:r>
    </w:p>
    <w:p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индикаторов по оценке эффективности результатов реализации проекта.</w:t>
      </w:r>
      <w:r>
        <w:rPr>
          <w:rFonts w:ascii="Times New Roman"/>
          <w:color w:val="000000"/>
          <w:sz w:val="28"/>
        </w:rPr>
        <w:t xml:space="preserve">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баллов по критериям, предусмотренным данным подпунктом настоящего пункта, рассчитывается в соответствии с приложением 3 к настоящей КД.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Конкурсная комиссия рассматривает заявку на участие в конкурсе, как отвечающую требованиям КД, если в ней присутствуют грамматические или арифметические ошибки, которые не затрагивают существа представленной заявки на участие в конкурсе.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Оценка и сопоставление конкурсных заявок и определение </w:t>
      </w:r>
    </w:p>
    <w:p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победителя конкурса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Конкурсная комиссия оценивает и сопоставляет конкурсные заявки участников конкурса. 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Результаты оценки и сопоставления конкурсных ценовых предложений размещаются в протоколе об итогах конкурса. </w:t>
      </w:r>
    </w:p>
    <w:p>
      <w:pPr>
        <w:pStyle w:val="9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26. Протокол об итогах конкурса полистно парафируется и подписывается всеми присутствовавшими на заседании членами конкурсной комиссии, а также секретарем конкурсной комиссии.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Заседание конкурсной комиссии для вскрытия конвертов, рассмотрения заявок на участие в конкурсе,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победителя конкурса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протокола </w:t>
      </w:r>
      <w:r>
        <w:rPr>
          <w:rFonts w:ascii="Times New Roman" w:hAnsi="Times New Roman" w:cs="Times New Roman"/>
          <w:color w:val="000000"/>
          <w:sz w:val="28"/>
          <w:szCs w:val="28"/>
        </w:rPr>
        <w:t>об итогах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течение 2 рабочих дней </w:t>
      </w:r>
      <w:r>
        <w:rPr>
          <w:rFonts w:ascii="Times New Roman" w:hAnsi="Times New Roman" w:cs="Times New Roman"/>
          <w:sz w:val="28"/>
          <w:szCs w:val="28"/>
        </w:rPr>
        <w:t>после истечения окончательного срока представления конкурсных заявок</w:t>
      </w:r>
    </w:p>
    <w:p>
      <w:pPr>
        <w:pStyle w:val="9"/>
        <w:spacing w:before="0" w:before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>
        <w:rPr>
          <w:b/>
          <w:sz w:val="28"/>
          <w:szCs w:val="28"/>
        </w:rPr>
        <w:t>не позднее 3 рабочих дней</w:t>
      </w:r>
      <w:r>
        <w:rPr>
          <w:sz w:val="28"/>
          <w:szCs w:val="28"/>
        </w:rPr>
        <w:t xml:space="preserve">, следующих за днем заседания конкурсной комиссии, размещает подписанный протокол </w:t>
      </w:r>
      <w:r>
        <w:rPr>
          <w:color w:val="000000"/>
          <w:sz w:val="28"/>
          <w:szCs w:val="28"/>
        </w:rPr>
        <w:t>об итогах конкурса</w:t>
      </w:r>
      <w:r>
        <w:rPr>
          <w:sz w:val="28"/>
          <w:szCs w:val="28"/>
        </w:rPr>
        <w:t xml:space="preserve"> на интернет-ресурсе заказчика </w:t>
      </w:r>
      <w:r>
        <w:rPr>
          <w:rFonts w:hint="default" w:ascii="Times New Roman" w:hAnsi="Times New Roman"/>
          <w:sz w:val="28"/>
          <w:szCs w:val="28"/>
          <w:lang w:val="kk-KZ"/>
        </w:rPr>
        <w:t>https://aids-zhambyl.kz/</w:t>
      </w:r>
      <w:r>
        <w:rPr>
          <w:sz w:val="28"/>
          <w:szCs w:val="28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 Договор о закупках услуг</w:t>
      </w:r>
    </w:p>
    <w:p>
      <w:pPr>
        <w:pStyle w:val="9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Договор о закупках услуг (далее – договор) с поставщиком заключается </w:t>
      </w:r>
      <w:r>
        <w:rPr>
          <w:b/>
          <w:color w:val="000000"/>
          <w:sz w:val="28"/>
          <w:szCs w:val="28"/>
        </w:rPr>
        <w:t>в</w:t>
      </w:r>
      <w:r>
        <w:rPr>
          <w:b/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 рабочих дней</w:t>
      </w:r>
      <w:r>
        <w:rPr>
          <w:sz w:val="28"/>
          <w:szCs w:val="28"/>
        </w:rPr>
        <w:t xml:space="preserve">, следующих за днем размещения подписанного протокола </w:t>
      </w:r>
      <w:r>
        <w:rPr>
          <w:color w:val="000000"/>
          <w:sz w:val="28"/>
          <w:szCs w:val="28"/>
        </w:rPr>
        <w:t>об итогах конкурса</w:t>
      </w:r>
      <w:r>
        <w:rPr>
          <w:sz w:val="28"/>
          <w:szCs w:val="28"/>
        </w:rPr>
        <w:t xml:space="preserve"> на интернет-ресурсе заказчика на основании трех-стороннего договора о закупках услуг в рамках реализации </w:t>
      </w:r>
      <w:r>
        <w:rPr>
          <w:rFonts w:eastAsia="Calibri"/>
          <w:sz w:val="28"/>
          <w:szCs w:val="28"/>
        </w:rPr>
        <w:t xml:space="preserve">гранта Глобального фонда  для борьбы со СПИДом, туберкулезом и малярией          </w:t>
      </w:r>
      <w:r>
        <w:rPr>
          <w:sz w:val="28"/>
          <w:szCs w:val="28"/>
        </w:rPr>
        <w:t>№ KAZ-H-RAC/3508.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46626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065489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939C3"/>
    <w:multiLevelType w:val="multilevel"/>
    <w:tmpl w:val="387939C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6B8C"/>
    <w:multiLevelType w:val="multilevel"/>
    <w:tmpl w:val="40676B8C"/>
    <w:lvl w:ilvl="0" w:tentative="0">
      <w:start w:val="1"/>
      <w:numFmt w:val="decimal"/>
      <w:lvlText w:val="%1)"/>
      <w:lvlJc w:val="left"/>
      <w:pPr>
        <w:ind w:left="6456" w:hanging="360"/>
      </w:pPr>
      <w:rPr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c0s7Q0NjM3MTRQ0lEKTi0uzszPAykwqQUA+TqRfSwAAAA="/>
  </w:docVars>
  <w:rsids>
    <w:rsidRoot w:val="00D90614"/>
    <w:rsid w:val="00004D71"/>
    <w:rsid w:val="0002280B"/>
    <w:rsid w:val="0002367D"/>
    <w:rsid w:val="00030E62"/>
    <w:rsid w:val="00040637"/>
    <w:rsid w:val="000421C7"/>
    <w:rsid w:val="0004489E"/>
    <w:rsid w:val="00045A0A"/>
    <w:rsid w:val="000548DD"/>
    <w:rsid w:val="0005525F"/>
    <w:rsid w:val="00060672"/>
    <w:rsid w:val="000612BE"/>
    <w:rsid w:val="000707AD"/>
    <w:rsid w:val="000713D6"/>
    <w:rsid w:val="00075422"/>
    <w:rsid w:val="000825CD"/>
    <w:rsid w:val="00091750"/>
    <w:rsid w:val="000A03C8"/>
    <w:rsid w:val="000A38A2"/>
    <w:rsid w:val="000A5B41"/>
    <w:rsid w:val="000B1E2B"/>
    <w:rsid w:val="000B2BE3"/>
    <w:rsid w:val="000C70C2"/>
    <w:rsid w:val="000C7AB1"/>
    <w:rsid w:val="000D3A93"/>
    <w:rsid w:val="000F08A8"/>
    <w:rsid w:val="000F0F37"/>
    <w:rsid w:val="00101B9C"/>
    <w:rsid w:val="00111B9D"/>
    <w:rsid w:val="00117EF7"/>
    <w:rsid w:val="00125A99"/>
    <w:rsid w:val="001441D9"/>
    <w:rsid w:val="00144CE6"/>
    <w:rsid w:val="00144D3E"/>
    <w:rsid w:val="00150ED9"/>
    <w:rsid w:val="0015676B"/>
    <w:rsid w:val="001568ED"/>
    <w:rsid w:val="0017139E"/>
    <w:rsid w:val="00174139"/>
    <w:rsid w:val="0018211B"/>
    <w:rsid w:val="0018313F"/>
    <w:rsid w:val="001A5906"/>
    <w:rsid w:val="001B0A73"/>
    <w:rsid w:val="001C1911"/>
    <w:rsid w:val="001C1F97"/>
    <w:rsid w:val="001C6230"/>
    <w:rsid w:val="001D5B17"/>
    <w:rsid w:val="001E05F8"/>
    <w:rsid w:val="001E462D"/>
    <w:rsid w:val="001E7181"/>
    <w:rsid w:val="001E7E79"/>
    <w:rsid w:val="001F59BE"/>
    <w:rsid w:val="00212C18"/>
    <w:rsid w:val="002177D4"/>
    <w:rsid w:val="002207EA"/>
    <w:rsid w:val="00231BE4"/>
    <w:rsid w:val="00240651"/>
    <w:rsid w:val="00247308"/>
    <w:rsid w:val="002534F1"/>
    <w:rsid w:val="00257270"/>
    <w:rsid w:val="00261362"/>
    <w:rsid w:val="00266356"/>
    <w:rsid w:val="00274FAB"/>
    <w:rsid w:val="002844CE"/>
    <w:rsid w:val="00290DD5"/>
    <w:rsid w:val="002922B7"/>
    <w:rsid w:val="00293D34"/>
    <w:rsid w:val="002A6466"/>
    <w:rsid w:val="002B1297"/>
    <w:rsid w:val="002C6F38"/>
    <w:rsid w:val="002D36F3"/>
    <w:rsid w:val="002D732F"/>
    <w:rsid w:val="002E1300"/>
    <w:rsid w:val="002E550B"/>
    <w:rsid w:val="002E587E"/>
    <w:rsid w:val="002F516B"/>
    <w:rsid w:val="002F5DD2"/>
    <w:rsid w:val="00304766"/>
    <w:rsid w:val="00307F7A"/>
    <w:rsid w:val="003110F5"/>
    <w:rsid w:val="00313FE0"/>
    <w:rsid w:val="00315595"/>
    <w:rsid w:val="0031757B"/>
    <w:rsid w:val="00327A10"/>
    <w:rsid w:val="00331454"/>
    <w:rsid w:val="00344ADB"/>
    <w:rsid w:val="00357E13"/>
    <w:rsid w:val="003701B4"/>
    <w:rsid w:val="00372C7B"/>
    <w:rsid w:val="00375B4A"/>
    <w:rsid w:val="003A3604"/>
    <w:rsid w:val="003B0D7D"/>
    <w:rsid w:val="003B1FF3"/>
    <w:rsid w:val="003B36DB"/>
    <w:rsid w:val="003C19A6"/>
    <w:rsid w:val="003C1A7A"/>
    <w:rsid w:val="003C6CB2"/>
    <w:rsid w:val="003D04ED"/>
    <w:rsid w:val="003D4CA6"/>
    <w:rsid w:val="003D7AA8"/>
    <w:rsid w:val="003E3C67"/>
    <w:rsid w:val="003F5FFA"/>
    <w:rsid w:val="003F790D"/>
    <w:rsid w:val="003F7D58"/>
    <w:rsid w:val="004053E7"/>
    <w:rsid w:val="00411BBE"/>
    <w:rsid w:val="00412F88"/>
    <w:rsid w:val="00413F5F"/>
    <w:rsid w:val="00415650"/>
    <w:rsid w:val="0042259C"/>
    <w:rsid w:val="00443AE6"/>
    <w:rsid w:val="00446C8B"/>
    <w:rsid w:val="00470511"/>
    <w:rsid w:val="004747E5"/>
    <w:rsid w:val="004818CB"/>
    <w:rsid w:val="004A5C50"/>
    <w:rsid w:val="004A74C1"/>
    <w:rsid w:val="004B1288"/>
    <w:rsid w:val="004C01D2"/>
    <w:rsid w:val="004D511B"/>
    <w:rsid w:val="004E1CC8"/>
    <w:rsid w:val="004E38ED"/>
    <w:rsid w:val="004F1DED"/>
    <w:rsid w:val="004F2207"/>
    <w:rsid w:val="004F2F97"/>
    <w:rsid w:val="005003A6"/>
    <w:rsid w:val="00503046"/>
    <w:rsid w:val="00503B41"/>
    <w:rsid w:val="00505D03"/>
    <w:rsid w:val="00516CE3"/>
    <w:rsid w:val="00523EF8"/>
    <w:rsid w:val="005267C5"/>
    <w:rsid w:val="00537A31"/>
    <w:rsid w:val="0054451B"/>
    <w:rsid w:val="00551DC4"/>
    <w:rsid w:val="00566C26"/>
    <w:rsid w:val="00574349"/>
    <w:rsid w:val="00577405"/>
    <w:rsid w:val="00586AC0"/>
    <w:rsid w:val="005A7C27"/>
    <w:rsid w:val="005B39BC"/>
    <w:rsid w:val="005B70F6"/>
    <w:rsid w:val="005D512C"/>
    <w:rsid w:val="005E2EDE"/>
    <w:rsid w:val="005F3111"/>
    <w:rsid w:val="00600D89"/>
    <w:rsid w:val="006027B9"/>
    <w:rsid w:val="00610841"/>
    <w:rsid w:val="006170F5"/>
    <w:rsid w:val="00622F0C"/>
    <w:rsid w:val="00635E59"/>
    <w:rsid w:val="00635E6E"/>
    <w:rsid w:val="006412B0"/>
    <w:rsid w:val="0064369A"/>
    <w:rsid w:val="00650F53"/>
    <w:rsid w:val="006602A7"/>
    <w:rsid w:val="00663CFD"/>
    <w:rsid w:val="00664BD1"/>
    <w:rsid w:val="00672094"/>
    <w:rsid w:val="0068367F"/>
    <w:rsid w:val="00683C2B"/>
    <w:rsid w:val="00683E64"/>
    <w:rsid w:val="006910A2"/>
    <w:rsid w:val="006929DB"/>
    <w:rsid w:val="00692F33"/>
    <w:rsid w:val="006B1412"/>
    <w:rsid w:val="006C752B"/>
    <w:rsid w:val="006D03E5"/>
    <w:rsid w:val="006D42ED"/>
    <w:rsid w:val="006D4F08"/>
    <w:rsid w:val="006E45D1"/>
    <w:rsid w:val="006E61FF"/>
    <w:rsid w:val="006F3A0E"/>
    <w:rsid w:val="00700253"/>
    <w:rsid w:val="00701801"/>
    <w:rsid w:val="00703445"/>
    <w:rsid w:val="0070425D"/>
    <w:rsid w:val="00722FE2"/>
    <w:rsid w:val="00726005"/>
    <w:rsid w:val="007378E6"/>
    <w:rsid w:val="007517AE"/>
    <w:rsid w:val="00767CA1"/>
    <w:rsid w:val="00770C71"/>
    <w:rsid w:val="007711F7"/>
    <w:rsid w:val="00772C5F"/>
    <w:rsid w:val="00772F9A"/>
    <w:rsid w:val="00776857"/>
    <w:rsid w:val="00777B3B"/>
    <w:rsid w:val="00781BAA"/>
    <w:rsid w:val="007949C1"/>
    <w:rsid w:val="007A507C"/>
    <w:rsid w:val="007B6063"/>
    <w:rsid w:val="007C70C6"/>
    <w:rsid w:val="007C7E23"/>
    <w:rsid w:val="007D5E6D"/>
    <w:rsid w:val="007D667D"/>
    <w:rsid w:val="007E2B8B"/>
    <w:rsid w:val="007E32F7"/>
    <w:rsid w:val="007E41BA"/>
    <w:rsid w:val="007E58D9"/>
    <w:rsid w:val="007E700D"/>
    <w:rsid w:val="008044C9"/>
    <w:rsid w:val="008061CA"/>
    <w:rsid w:val="00812A67"/>
    <w:rsid w:val="00820897"/>
    <w:rsid w:val="00824227"/>
    <w:rsid w:val="008478D6"/>
    <w:rsid w:val="00847D72"/>
    <w:rsid w:val="0086397E"/>
    <w:rsid w:val="00867A79"/>
    <w:rsid w:val="00870CA7"/>
    <w:rsid w:val="00880A3D"/>
    <w:rsid w:val="00881B24"/>
    <w:rsid w:val="00883164"/>
    <w:rsid w:val="008918B2"/>
    <w:rsid w:val="00893534"/>
    <w:rsid w:val="008B2560"/>
    <w:rsid w:val="008C1709"/>
    <w:rsid w:val="008C47FB"/>
    <w:rsid w:val="008C62DB"/>
    <w:rsid w:val="008D1776"/>
    <w:rsid w:val="008D3B2B"/>
    <w:rsid w:val="008D7394"/>
    <w:rsid w:val="008E0C15"/>
    <w:rsid w:val="008F5CF7"/>
    <w:rsid w:val="008F713B"/>
    <w:rsid w:val="00920DEC"/>
    <w:rsid w:val="00923895"/>
    <w:rsid w:val="00930CFF"/>
    <w:rsid w:val="0094037A"/>
    <w:rsid w:val="00942239"/>
    <w:rsid w:val="009442F2"/>
    <w:rsid w:val="00945496"/>
    <w:rsid w:val="00956827"/>
    <w:rsid w:val="00962C0E"/>
    <w:rsid w:val="00962E20"/>
    <w:rsid w:val="00964148"/>
    <w:rsid w:val="00970209"/>
    <w:rsid w:val="00971781"/>
    <w:rsid w:val="009824AE"/>
    <w:rsid w:val="0098269A"/>
    <w:rsid w:val="009907C9"/>
    <w:rsid w:val="00991CC9"/>
    <w:rsid w:val="00992563"/>
    <w:rsid w:val="00995AF4"/>
    <w:rsid w:val="009A6701"/>
    <w:rsid w:val="009A6E8D"/>
    <w:rsid w:val="009B0D78"/>
    <w:rsid w:val="009C531A"/>
    <w:rsid w:val="009D0FBD"/>
    <w:rsid w:val="009D7937"/>
    <w:rsid w:val="009E396B"/>
    <w:rsid w:val="009E7FAF"/>
    <w:rsid w:val="009F3ED4"/>
    <w:rsid w:val="00A001C9"/>
    <w:rsid w:val="00A01401"/>
    <w:rsid w:val="00A03357"/>
    <w:rsid w:val="00A05FEA"/>
    <w:rsid w:val="00A075B0"/>
    <w:rsid w:val="00A15A0A"/>
    <w:rsid w:val="00A15DE5"/>
    <w:rsid w:val="00A34107"/>
    <w:rsid w:val="00A44260"/>
    <w:rsid w:val="00A536EC"/>
    <w:rsid w:val="00A53B7A"/>
    <w:rsid w:val="00A54927"/>
    <w:rsid w:val="00A72377"/>
    <w:rsid w:val="00A73F08"/>
    <w:rsid w:val="00A7721D"/>
    <w:rsid w:val="00A83E53"/>
    <w:rsid w:val="00A94C51"/>
    <w:rsid w:val="00A95291"/>
    <w:rsid w:val="00AA05D6"/>
    <w:rsid w:val="00AA3FD2"/>
    <w:rsid w:val="00AB2361"/>
    <w:rsid w:val="00AB4502"/>
    <w:rsid w:val="00AB62FA"/>
    <w:rsid w:val="00AC037F"/>
    <w:rsid w:val="00AC1B1C"/>
    <w:rsid w:val="00AC3801"/>
    <w:rsid w:val="00AC6DF6"/>
    <w:rsid w:val="00AD063C"/>
    <w:rsid w:val="00AD2E25"/>
    <w:rsid w:val="00AD47E7"/>
    <w:rsid w:val="00AE42E5"/>
    <w:rsid w:val="00AE6DBE"/>
    <w:rsid w:val="00AF4051"/>
    <w:rsid w:val="00AF5A87"/>
    <w:rsid w:val="00AF6E58"/>
    <w:rsid w:val="00AF7FA3"/>
    <w:rsid w:val="00B10493"/>
    <w:rsid w:val="00B125EB"/>
    <w:rsid w:val="00B1336B"/>
    <w:rsid w:val="00B14060"/>
    <w:rsid w:val="00B24807"/>
    <w:rsid w:val="00B30904"/>
    <w:rsid w:val="00B43916"/>
    <w:rsid w:val="00B503CB"/>
    <w:rsid w:val="00B5770A"/>
    <w:rsid w:val="00B610D1"/>
    <w:rsid w:val="00B66816"/>
    <w:rsid w:val="00B71004"/>
    <w:rsid w:val="00B77B32"/>
    <w:rsid w:val="00B81965"/>
    <w:rsid w:val="00B821EA"/>
    <w:rsid w:val="00B95F33"/>
    <w:rsid w:val="00BA2084"/>
    <w:rsid w:val="00BA6EE8"/>
    <w:rsid w:val="00BB2F57"/>
    <w:rsid w:val="00BC0DB4"/>
    <w:rsid w:val="00BC257F"/>
    <w:rsid w:val="00BC4443"/>
    <w:rsid w:val="00BC6104"/>
    <w:rsid w:val="00BD3D12"/>
    <w:rsid w:val="00BE28F5"/>
    <w:rsid w:val="00BE5C77"/>
    <w:rsid w:val="00BF296D"/>
    <w:rsid w:val="00C02477"/>
    <w:rsid w:val="00C073EB"/>
    <w:rsid w:val="00C1027E"/>
    <w:rsid w:val="00C215A9"/>
    <w:rsid w:val="00C24457"/>
    <w:rsid w:val="00C26FCB"/>
    <w:rsid w:val="00C30CE5"/>
    <w:rsid w:val="00C33701"/>
    <w:rsid w:val="00C36A29"/>
    <w:rsid w:val="00C36EB2"/>
    <w:rsid w:val="00C37173"/>
    <w:rsid w:val="00C423A3"/>
    <w:rsid w:val="00C56ACA"/>
    <w:rsid w:val="00C63974"/>
    <w:rsid w:val="00C70075"/>
    <w:rsid w:val="00C70CE0"/>
    <w:rsid w:val="00C745B6"/>
    <w:rsid w:val="00C812BF"/>
    <w:rsid w:val="00C93C57"/>
    <w:rsid w:val="00CA3134"/>
    <w:rsid w:val="00CA60F3"/>
    <w:rsid w:val="00CB1358"/>
    <w:rsid w:val="00CC4073"/>
    <w:rsid w:val="00CD49E8"/>
    <w:rsid w:val="00CD49FF"/>
    <w:rsid w:val="00CD7E9E"/>
    <w:rsid w:val="00CE734C"/>
    <w:rsid w:val="00CF3684"/>
    <w:rsid w:val="00CF3F50"/>
    <w:rsid w:val="00CF7999"/>
    <w:rsid w:val="00D00983"/>
    <w:rsid w:val="00D025AD"/>
    <w:rsid w:val="00D03170"/>
    <w:rsid w:val="00D037CF"/>
    <w:rsid w:val="00D066DC"/>
    <w:rsid w:val="00D07D6B"/>
    <w:rsid w:val="00D103B8"/>
    <w:rsid w:val="00D14767"/>
    <w:rsid w:val="00D23A51"/>
    <w:rsid w:val="00D271F7"/>
    <w:rsid w:val="00D27314"/>
    <w:rsid w:val="00D30920"/>
    <w:rsid w:val="00D40F23"/>
    <w:rsid w:val="00D41E65"/>
    <w:rsid w:val="00D455D0"/>
    <w:rsid w:val="00D51ABC"/>
    <w:rsid w:val="00D54C1E"/>
    <w:rsid w:val="00D560B1"/>
    <w:rsid w:val="00D56947"/>
    <w:rsid w:val="00D6518B"/>
    <w:rsid w:val="00D659C6"/>
    <w:rsid w:val="00D66348"/>
    <w:rsid w:val="00D6703D"/>
    <w:rsid w:val="00D71898"/>
    <w:rsid w:val="00D71FD4"/>
    <w:rsid w:val="00D73692"/>
    <w:rsid w:val="00D87F7F"/>
    <w:rsid w:val="00D90614"/>
    <w:rsid w:val="00D91172"/>
    <w:rsid w:val="00D9233B"/>
    <w:rsid w:val="00D9420B"/>
    <w:rsid w:val="00D95779"/>
    <w:rsid w:val="00DA54B6"/>
    <w:rsid w:val="00DA7E64"/>
    <w:rsid w:val="00DB6A22"/>
    <w:rsid w:val="00DB78F2"/>
    <w:rsid w:val="00DC0D81"/>
    <w:rsid w:val="00DC7983"/>
    <w:rsid w:val="00DD0423"/>
    <w:rsid w:val="00DD2D22"/>
    <w:rsid w:val="00DE7447"/>
    <w:rsid w:val="00DE77E9"/>
    <w:rsid w:val="00DF0451"/>
    <w:rsid w:val="00DF43E7"/>
    <w:rsid w:val="00E11F66"/>
    <w:rsid w:val="00E16537"/>
    <w:rsid w:val="00E24C93"/>
    <w:rsid w:val="00E31E28"/>
    <w:rsid w:val="00E337A0"/>
    <w:rsid w:val="00E42B52"/>
    <w:rsid w:val="00E43EFF"/>
    <w:rsid w:val="00E5382D"/>
    <w:rsid w:val="00E57349"/>
    <w:rsid w:val="00E6078B"/>
    <w:rsid w:val="00E63D82"/>
    <w:rsid w:val="00E66A40"/>
    <w:rsid w:val="00E72C54"/>
    <w:rsid w:val="00E76D95"/>
    <w:rsid w:val="00E82716"/>
    <w:rsid w:val="00E87276"/>
    <w:rsid w:val="00E90984"/>
    <w:rsid w:val="00E91D9D"/>
    <w:rsid w:val="00EB026B"/>
    <w:rsid w:val="00EC3B86"/>
    <w:rsid w:val="00ED179C"/>
    <w:rsid w:val="00ED2815"/>
    <w:rsid w:val="00ED51E4"/>
    <w:rsid w:val="00ED6482"/>
    <w:rsid w:val="00ED718B"/>
    <w:rsid w:val="00EE067F"/>
    <w:rsid w:val="00EE5924"/>
    <w:rsid w:val="00EF3D3A"/>
    <w:rsid w:val="00F04540"/>
    <w:rsid w:val="00F05A8A"/>
    <w:rsid w:val="00F07F3F"/>
    <w:rsid w:val="00F106B4"/>
    <w:rsid w:val="00F277C8"/>
    <w:rsid w:val="00F3368D"/>
    <w:rsid w:val="00F47B8E"/>
    <w:rsid w:val="00F5113A"/>
    <w:rsid w:val="00F55604"/>
    <w:rsid w:val="00F61E08"/>
    <w:rsid w:val="00F62A27"/>
    <w:rsid w:val="00F645A4"/>
    <w:rsid w:val="00F64B84"/>
    <w:rsid w:val="00F66E56"/>
    <w:rsid w:val="00F812FD"/>
    <w:rsid w:val="00F935AF"/>
    <w:rsid w:val="00F95208"/>
    <w:rsid w:val="00F961D0"/>
    <w:rsid w:val="00FA27A9"/>
    <w:rsid w:val="00FA4529"/>
    <w:rsid w:val="00FA6C9C"/>
    <w:rsid w:val="00FB5C1E"/>
    <w:rsid w:val="00FC2550"/>
    <w:rsid w:val="00FC6399"/>
    <w:rsid w:val="00FD5A98"/>
    <w:rsid w:val="00FE569D"/>
    <w:rsid w:val="0FBA5DE5"/>
    <w:rsid w:val="1C502501"/>
    <w:rsid w:val="1EDF7DB4"/>
    <w:rsid w:val="324E1058"/>
    <w:rsid w:val="368A620A"/>
    <w:rsid w:val="634877EE"/>
    <w:rsid w:val="6C3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link w:val="1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0">
    <w:name w:val="Table Grid"/>
    <w:basedOn w:val="4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s0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13">
    <w:name w:val="Верхний колонтитул Знак"/>
    <w:basedOn w:val="3"/>
    <w:link w:val="7"/>
    <w:qFormat/>
    <w:uiPriority w:val="99"/>
  </w:style>
  <w:style w:type="character" w:customStyle="1" w:styleId="14">
    <w:name w:val="Нижний колонтитул Знак"/>
    <w:basedOn w:val="3"/>
    <w:link w:val="8"/>
    <w:qFormat/>
    <w:uiPriority w:val="99"/>
  </w:style>
  <w:style w:type="character" w:customStyle="1" w:styleId="15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customStyle="1" w:styleId="16">
    <w:name w:val="List Paragraph1"/>
    <w:basedOn w:val="1"/>
    <w:qFormat/>
    <w:uiPriority w:val="99"/>
    <w:pPr>
      <w:ind w:left="720"/>
    </w:pPr>
    <w:rPr>
      <w:rFonts w:ascii="Calibri" w:hAnsi="Calibri" w:eastAsia="Times New Roman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4014-2277-45B5-B5CF-6AAFED1C56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МЗРК</Company>
  <Pages>1</Pages>
  <Words>2187</Words>
  <Characters>12468</Characters>
  <Lines>103</Lines>
  <Paragraphs>29</Paragraphs>
  <TotalTime>2</TotalTime>
  <ScaleCrop>false</ScaleCrop>
  <LinksUpToDate>false</LinksUpToDate>
  <CharactersWithSpaces>14626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2023-11-27T08:32:00Z</dcterms:created>
  <dc:creator>k.amanbaev</dc:creator>
  <cp:lastModifiedBy>user</cp:lastModifiedBy>
  <cp:lastPrinted>2023-12-12T04:57:00Z</cp:lastPrinted>
  <dcterms:modified xsi:type="dcterms:W3CDTF">2023-12-12T10:13:44Z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DE707BDD02194049AAE07F3E7D4BA40E_13</vt:lpwstr>
  </property>
</Properties>
</file>